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widowControl w:val="0"/>
        <w:spacing w:after="120" w:before="360" w:line="240" w:lineRule="auto"/>
        <w:rPr>
          <w:rFonts w:ascii="Bookman Old Style" w:cs="Bookman Old Style" w:eastAsia="Bookman Old Style" w:hAnsi="Bookman Old Style"/>
          <w:color w:val="000000"/>
          <w:sz w:val="32"/>
          <w:szCs w:val="32"/>
        </w:rPr>
      </w:pPr>
      <w:bookmarkStart w:colFirst="0" w:colLast="0" w:name="_s88701e5r6oj" w:id="0"/>
      <w:bookmarkEnd w:id="0"/>
      <w:r w:rsidDel="00000000" w:rsidR="00000000" w:rsidRPr="00000000">
        <w:rPr>
          <w:rFonts w:ascii="Bookman Old Style" w:cs="Bookman Old Style" w:eastAsia="Bookman Old Style" w:hAnsi="Bookman Old Style"/>
          <w:color w:val="000000"/>
          <w:sz w:val="32"/>
          <w:szCs w:val="32"/>
          <w:rtl w:val="0"/>
        </w:rPr>
        <w:t xml:space="preserve">Teaching and Preaching the Bible</w:t>
      </w:r>
    </w:p>
    <w:p w:rsidR="00000000" w:rsidDel="00000000" w:rsidP="00000000" w:rsidRDefault="00000000" w:rsidRPr="00000000" w14:paraId="00000002">
      <w:pPr>
        <w:widowControl w:val="0"/>
        <w:spacing w:line="240" w:lineRule="auto"/>
        <w:rPr>
          <w:rFonts w:ascii="Lato" w:cs="Lato" w:eastAsia="Lato" w:hAnsi="Lato"/>
          <w:sz w:val="20"/>
          <w:szCs w:val="20"/>
        </w:rPr>
      </w:pPr>
      <w:r w:rsidDel="00000000" w:rsidR="00000000" w:rsidRPr="00000000">
        <w:rPr>
          <w:rtl w:val="0"/>
        </w:rPr>
      </w:r>
    </w:p>
    <w:p w:rsidR="00000000" w:rsidDel="00000000" w:rsidP="00000000" w:rsidRDefault="00000000" w:rsidRPr="00000000" w14:paraId="00000003">
      <w:pPr>
        <w:widowControl w:val="0"/>
        <w:shd w:fill="ffffff" w:val="clear"/>
        <w:spacing w:after="240" w:before="240" w:lineRule="auto"/>
        <w:jc w:val="both"/>
        <w:rPr>
          <w:rFonts w:ascii="Lato" w:cs="Lato" w:eastAsia="Lato" w:hAnsi="Lato"/>
          <w:color w:val="1a202c"/>
        </w:rPr>
      </w:pPr>
      <w:r w:rsidDel="00000000" w:rsidR="00000000" w:rsidRPr="00000000">
        <w:rPr>
          <w:rFonts w:ascii="Lato" w:cs="Lato" w:eastAsia="Lato" w:hAnsi="Lato"/>
          <w:color w:val="1a202c"/>
          <w:rtl w:val="0"/>
        </w:rPr>
        <w:t xml:space="preserve">This course is intended to help you develop your understanding and skills as you teach and preach the Bible. Starting with foundational principles on what Scripture itself says about teaching and preaching , you'll then work through the principles and steps for interpreting and preparing to teach passages of scripture. You'll be encouraged to reflect on your own heart and practice, growing in conviction, care and confidence as you seek to communicate God's word to others.</w:t>
      </w:r>
      <w:r w:rsidDel="00000000" w:rsidR="00000000" w:rsidRPr="00000000">
        <w:drawing>
          <wp:anchor allowOverlap="1" behindDoc="0" distB="114300" distT="114300" distL="114300" distR="114300" hidden="0" layoutInCell="1" locked="0" relativeHeight="0" simplePos="0">
            <wp:simplePos x="0" y="0"/>
            <wp:positionH relativeFrom="column">
              <wp:posOffset>3505200</wp:posOffset>
            </wp:positionH>
            <wp:positionV relativeFrom="paragraph">
              <wp:posOffset>1549527</wp:posOffset>
            </wp:positionV>
            <wp:extent cx="2198836" cy="1778341"/>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198836" cy="1778341"/>
                    </a:xfrm>
                    <a:prstGeom prst="rect"/>
                    <a:ln/>
                  </pic:spPr>
                </pic:pic>
              </a:graphicData>
            </a:graphic>
          </wp:anchor>
        </w:drawing>
      </w:r>
    </w:p>
    <w:p w:rsidR="00000000" w:rsidDel="00000000" w:rsidP="00000000" w:rsidRDefault="00000000" w:rsidRPr="00000000" w14:paraId="00000004">
      <w:pPr>
        <w:widowControl w:val="0"/>
        <w:shd w:fill="ffffff" w:val="clear"/>
        <w:spacing w:after="240" w:before="240" w:lineRule="auto"/>
        <w:rPr>
          <w:rFonts w:ascii="Lato" w:cs="Lato" w:eastAsia="Lato" w:hAnsi="Lato"/>
          <w:color w:val="1a202c"/>
        </w:rPr>
      </w:pPr>
      <w:r w:rsidDel="00000000" w:rsidR="00000000" w:rsidRPr="00000000">
        <w:rPr>
          <w:rtl w:val="0"/>
        </w:rPr>
      </w:r>
    </w:p>
    <w:p w:rsidR="00000000" w:rsidDel="00000000" w:rsidP="00000000" w:rsidRDefault="00000000" w:rsidRPr="00000000" w14:paraId="00000005">
      <w:pPr>
        <w:widowControl w:val="0"/>
        <w:shd w:fill="ffffff" w:val="clear"/>
        <w:spacing w:after="240" w:before="240" w:lineRule="auto"/>
        <w:rPr>
          <w:rFonts w:ascii="Lato" w:cs="Lato" w:eastAsia="Lato" w:hAnsi="Lato"/>
          <w:color w:val="1a202c"/>
        </w:rPr>
      </w:pPr>
      <w:r w:rsidDel="00000000" w:rsidR="00000000" w:rsidRPr="00000000">
        <w:rPr>
          <w:rFonts w:ascii="Lato" w:cs="Lato" w:eastAsia="Lato" w:hAnsi="Lato"/>
          <w:color w:val="1a202c"/>
          <w:rtl w:val="0"/>
        </w:rPr>
        <w:t xml:space="preserve">The course consists of these nine units:</w:t>
      </w:r>
    </w:p>
    <w:p w:rsidR="00000000" w:rsidDel="00000000" w:rsidP="00000000" w:rsidRDefault="00000000" w:rsidRPr="00000000" w14:paraId="00000006">
      <w:pPr>
        <w:widowControl w:val="0"/>
        <w:numPr>
          <w:ilvl w:val="0"/>
          <w:numId w:val="1"/>
        </w:numPr>
        <w:shd w:fill="ffffff" w:val="clear"/>
        <w:spacing w:after="0" w:afterAutospacing="0" w:before="240" w:lineRule="auto"/>
        <w:ind w:left="720" w:hanging="360"/>
        <w:rPr>
          <w:rFonts w:ascii="Lato" w:cs="Lato" w:eastAsia="Lato" w:hAnsi="Lato"/>
          <w:color w:val="1a202c"/>
        </w:rPr>
      </w:pPr>
      <w:r w:rsidDel="00000000" w:rsidR="00000000" w:rsidRPr="00000000">
        <w:rPr>
          <w:rFonts w:ascii="Lato" w:cs="Lato" w:eastAsia="Lato" w:hAnsi="Lato"/>
          <w:color w:val="1a202c"/>
          <w:rtl w:val="0"/>
        </w:rPr>
        <w:t xml:space="preserve">Introduction to teaching and preaching</w:t>
      </w:r>
    </w:p>
    <w:p w:rsidR="00000000" w:rsidDel="00000000" w:rsidP="00000000" w:rsidRDefault="00000000" w:rsidRPr="00000000" w14:paraId="00000007">
      <w:pPr>
        <w:widowControl w:val="0"/>
        <w:numPr>
          <w:ilvl w:val="0"/>
          <w:numId w:val="1"/>
        </w:numPr>
        <w:shd w:fill="ffffff" w:val="clear"/>
        <w:spacing w:after="0" w:afterAutospacing="0" w:before="0" w:beforeAutospacing="0" w:lineRule="auto"/>
        <w:ind w:left="720" w:hanging="360"/>
        <w:rPr>
          <w:rFonts w:ascii="Lato" w:cs="Lato" w:eastAsia="Lato" w:hAnsi="Lato"/>
          <w:color w:val="1a202c"/>
        </w:rPr>
      </w:pPr>
      <w:r w:rsidDel="00000000" w:rsidR="00000000" w:rsidRPr="00000000">
        <w:rPr>
          <w:rFonts w:ascii="Lato" w:cs="Lato" w:eastAsia="Lato" w:hAnsi="Lato"/>
          <w:color w:val="1a202c"/>
          <w:rtl w:val="0"/>
        </w:rPr>
        <w:t xml:space="preserve">Interpreting the Bible</w:t>
      </w:r>
    </w:p>
    <w:p w:rsidR="00000000" w:rsidDel="00000000" w:rsidP="00000000" w:rsidRDefault="00000000" w:rsidRPr="00000000" w14:paraId="00000008">
      <w:pPr>
        <w:widowControl w:val="0"/>
        <w:numPr>
          <w:ilvl w:val="0"/>
          <w:numId w:val="1"/>
        </w:numPr>
        <w:shd w:fill="ffffff" w:val="clear"/>
        <w:spacing w:after="0" w:afterAutospacing="0" w:before="0" w:beforeAutospacing="0" w:lineRule="auto"/>
        <w:ind w:left="720" w:hanging="360"/>
        <w:rPr>
          <w:rFonts w:ascii="Lato" w:cs="Lato" w:eastAsia="Lato" w:hAnsi="Lato"/>
          <w:color w:val="1a202c"/>
        </w:rPr>
      </w:pPr>
      <w:r w:rsidDel="00000000" w:rsidR="00000000" w:rsidRPr="00000000">
        <w:rPr>
          <w:rFonts w:ascii="Lato" w:cs="Lato" w:eastAsia="Lato" w:hAnsi="Lato"/>
          <w:color w:val="1a202c"/>
          <w:rtl w:val="0"/>
        </w:rPr>
        <w:t xml:space="preserve">The heart of the message</w:t>
      </w:r>
    </w:p>
    <w:p w:rsidR="00000000" w:rsidDel="00000000" w:rsidP="00000000" w:rsidRDefault="00000000" w:rsidRPr="00000000" w14:paraId="00000009">
      <w:pPr>
        <w:widowControl w:val="0"/>
        <w:numPr>
          <w:ilvl w:val="0"/>
          <w:numId w:val="1"/>
        </w:numPr>
        <w:shd w:fill="ffffff" w:val="clear"/>
        <w:spacing w:after="0" w:afterAutospacing="0" w:before="0" w:beforeAutospacing="0" w:lineRule="auto"/>
        <w:ind w:left="720" w:hanging="360"/>
        <w:rPr>
          <w:rFonts w:ascii="Lato" w:cs="Lato" w:eastAsia="Lato" w:hAnsi="Lato"/>
          <w:color w:val="1a202c"/>
        </w:rPr>
      </w:pPr>
      <w:r w:rsidDel="00000000" w:rsidR="00000000" w:rsidRPr="00000000">
        <w:rPr>
          <w:rFonts w:ascii="Lato" w:cs="Lato" w:eastAsia="Lato" w:hAnsi="Lato"/>
          <w:color w:val="1a202c"/>
          <w:rtl w:val="0"/>
        </w:rPr>
        <w:t xml:space="preserve">Big Idea and Aim: worked example</w:t>
      </w:r>
    </w:p>
    <w:p w:rsidR="00000000" w:rsidDel="00000000" w:rsidP="00000000" w:rsidRDefault="00000000" w:rsidRPr="00000000" w14:paraId="0000000A">
      <w:pPr>
        <w:widowControl w:val="0"/>
        <w:numPr>
          <w:ilvl w:val="0"/>
          <w:numId w:val="1"/>
        </w:numPr>
        <w:shd w:fill="ffffff" w:val="clear"/>
        <w:spacing w:after="0" w:afterAutospacing="0" w:before="0" w:beforeAutospacing="0" w:lineRule="auto"/>
        <w:ind w:left="720" w:hanging="360"/>
        <w:rPr>
          <w:rFonts w:ascii="Lato" w:cs="Lato" w:eastAsia="Lato" w:hAnsi="Lato"/>
          <w:color w:val="1a202c"/>
        </w:rPr>
      </w:pPr>
      <w:r w:rsidDel="00000000" w:rsidR="00000000" w:rsidRPr="00000000">
        <w:rPr>
          <w:rFonts w:ascii="Lato" w:cs="Lato" w:eastAsia="Lato" w:hAnsi="Lato"/>
          <w:color w:val="1a202c"/>
          <w:rtl w:val="0"/>
        </w:rPr>
        <w:t xml:space="preserve">Crafting the material</w:t>
      </w:r>
    </w:p>
    <w:p w:rsidR="00000000" w:rsidDel="00000000" w:rsidP="00000000" w:rsidRDefault="00000000" w:rsidRPr="00000000" w14:paraId="0000000B">
      <w:pPr>
        <w:widowControl w:val="0"/>
        <w:numPr>
          <w:ilvl w:val="0"/>
          <w:numId w:val="1"/>
        </w:numPr>
        <w:shd w:fill="ffffff" w:val="clear"/>
        <w:spacing w:after="0" w:afterAutospacing="0" w:before="0" w:beforeAutospacing="0" w:lineRule="auto"/>
        <w:ind w:left="720" w:hanging="360"/>
        <w:rPr>
          <w:rFonts w:ascii="Lato" w:cs="Lato" w:eastAsia="Lato" w:hAnsi="Lato"/>
          <w:color w:val="1a202c"/>
        </w:rPr>
      </w:pPr>
      <w:r w:rsidDel="00000000" w:rsidR="00000000" w:rsidRPr="00000000">
        <w:rPr>
          <w:rFonts w:ascii="Lato" w:cs="Lato" w:eastAsia="Lato" w:hAnsi="Lato"/>
          <w:color w:val="1a202c"/>
          <w:rtl w:val="0"/>
        </w:rPr>
        <w:t xml:space="preserve">Application part 1</w:t>
      </w:r>
    </w:p>
    <w:p w:rsidR="00000000" w:rsidDel="00000000" w:rsidP="00000000" w:rsidRDefault="00000000" w:rsidRPr="00000000" w14:paraId="0000000C">
      <w:pPr>
        <w:widowControl w:val="0"/>
        <w:numPr>
          <w:ilvl w:val="0"/>
          <w:numId w:val="1"/>
        </w:numPr>
        <w:shd w:fill="ffffff" w:val="clear"/>
        <w:spacing w:after="0" w:afterAutospacing="0" w:before="0" w:beforeAutospacing="0" w:lineRule="auto"/>
        <w:ind w:left="720" w:hanging="360"/>
        <w:rPr>
          <w:rFonts w:ascii="Lato" w:cs="Lato" w:eastAsia="Lato" w:hAnsi="Lato"/>
          <w:color w:val="1a202c"/>
        </w:rPr>
      </w:pPr>
      <w:r w:rsidDel="00000000" w:rsidR="00000000" w:rsidRPr="00000000">
        <w:rPr>
          <w:rFonts w:ascii="Lato" w:cs="Lato" w:eastAsia="Lato" w:hAnsi="Lato"/>
          <w:color w:val="1a202c"/>
          <w:rtl w:val="0"/>
        </w:rPr>
        <w:t xml:space="preserve">Application part 2</w:t>
      </w:r>
    </w:p>
    <w:p w:rsidR="00000000" w:rsidDel="00000000" w:rsidP="00000000" w:rsidRDefault="00000000" w:rsidRPr="00000000" w14:paraId="0000000D">
      <w:pPr>
        <w:widowControl w:val="0"/>
        <w:numPr>
          <w:ilvl w:val="0"/>
          <w:numId w:val="1"/>
        </w:numPr>
        <w:shd w:fill="ffffff" w:val="clear"/>
        <w:spacing w:after="0" w:afterAutospacing="0" w:before="0" w:beforeAutospacing="0" w:lineRule="auto"/>
        <w:ind w:left="720" w:hanging="360"/>
        <w:rPr>
          <w:rFonts w:ascii="Lato" w:cs="Lato" w:eastAsia="Lato" w:hAnsi="Lato"/>
          <w:color w:val="1a202c"/>
        </w:rPr>
      </w:pPr>
      <w:r w:rsidDel="00000000" w:rsidR="00000000" w:rsidRPr="00000000">
        <w:rPr>
          <w:rFonts w:ascii="Lato" w:cs="Lato" w:eastAsia="Lato" w:hAnsi="Lato"/>
          <w:color w:val="1a202c"/>
          <w:rtl w:val="0"/>
        </w:rPr>
        <w:t xml:space="preserve">Small group Bible study</w:t>
      </w:r>
    </w:p>
    <w:p w:rsidR="00000000" w:rsidDel="00000000" w:rsidP="00000000" w:rsidRDefault="00000000" w:rsidRPr="00000000" w14:paraId="0000000E">
      <w:pPr>
        <w:widowControl w:val="0"/>
        <w:numPr>
          <w:ilvl w:val="0"/>
          <w:numId w:val="1"/>
        </w:numPr>
        <w:shd w:fill="ffffff" w:val="clear"/>
        <w:spacing w:after="240" w:before="0" w:beforeAutospacing="0" w:lineRule="auto"/>
        <w:ind w:left="720" w:hanging="360"/>
        <w:rPr>
          <w:rFonts w:ascii="Lato" w:cs="Lato" w:eastAsia="Lato" w:hAnsi="Lato"/>
          <w:color w:val="1a202c"/>
        </w:rPr>
      </w:pPr>
      <w:r w:rsidDel="00000000" w:rsidR="00000000" w:rsidRPr="00000000">
        <w:rPr>
          <w:rFonts w:ascii="Lato" w:cs="Lato" w:eastAsia="Lato" w:hAnsi="Lato"/>
          <w:color w:val="1a202c"/>
          <w:rtl w:val="0"/>
        </w:rPr>
        <w:t xml:space="preserve">Character</w:t>
      </w:r>
    </w:p>
    <w:p w:rsidR="00000000" w:rsidDel="00000000" w:rsidP="00000000" w:rsidRDefault="00000000" w:rsidRPr="00000000" w14:paraId="0000000F">
      <w:pPr>
        <w:spacing w:before="200" w:lineRule="auto"/>
        <w:rPr>
          <w:rFonts w:ascii="Lato" w:cs="Lato" w:eastAsia="Lato" w:hAnsi="Lato"/>
        </w:rPr>
      </w:pPr>
      <w:r w:rsidDel="00000000" w:rsidR="00000000" w:rsidRPr="00000000">
        <w:rPr>
          <w:rtl w:val="0"/>
        </w:rPr>
      </w:r>
    </w:p>
    <w:p w:rsidR="00000000" w:rsidDel="00000000" w:rsidP="00000000" w:rsidRDefault="00000000" w:rsidRPr="00000000" w14:paraId="00000010">
      <w:pPr>
        <w:spacing w:before="200" w:lineRule="auto"/>
        <w:rPr>
          <w:rFonts w:ascii="Lato" w:cs="Lato" w:eastAsia="Lato" w:hAnsi="Lato"/>
          <w:sz w:val="20"/>
          <w:szCs w:val="20"/>
        </w:rPr>
      </w:pPr>
      <w:r w:rsidDel="00000000" w:rsidR="00000000" w:rsidRPr="00000000">
        <w:rPr>
          <w:rFonts w:ascii="Lato" w:cs="Lato" w:eastAsia="Lato" w:hAnsi="Lato"/>
          <w:rtl w:val="0"/>
        </w:rPr>
        <w:t xml:space="preserve">Whether you explore the course as an individual or a group we hope and pray that the material will enrich your personal walk with Christ and help to develop a culture of discipleship in your local church.</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Bookman Old Style"/>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